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B70F02" w:rsidRPr="00D81085" w:rsidRDefault="00B70F02" w:rsidP="00B70F02">
      <w:pPr>
        <w:shd w:val="clear" w:color="auto" w:fill="D9D9D9" w:themeFill="background1" w:themeFillShade="D9"/>
        <w:spacing w:line="360" w:lineRule="auto"/>
        <w:jc w:val="center"/>
        <w:rPr>
          <w:rFonts w:ascii="Tahoma" w:hAnsi="Tahoma"/>
          <w:b/>
          <w:bCs/>
          <w:sz w:val="24"/>
        </w:rPr>
      </w:pPr>
      <w:r w:rsidRPr="00D81085">
        <w:rPr>
          <w:rFonts w:ascii="Tahoma" w:hAnsi="Tahoma"/>
          <w:b/>
          <w:bCs/>
          <w:sz w:val="24"/>
          <w:rtl/>
        </w:rPr>
        <w:t>بسم الله الرحمن الرحیم</w:t>
      </w:r>
    </w:p>
    <w:p w:rsidR="00B70F02" w:rsidRPr="00D81085" w:rsidRDefault="00B70F02" w:rsidP="00B70F02">
      <w:pPr>
        <w:shd w:val="clear" w:color="auto" w:fill="D9D9D9" w:themeFill="background1" w:themeFillShade="D9"/>
        <w:spacing w:line="360" w:lineRule="auto"/>
        <w:jc w:val="lowKashida"/>
        <w:rPr>
          <w:rFonts w:ascii="Tahoma" w:hAnsi="Tahoma"/>
          <w:b/>
          <w:bCs/>
          <w:sz w:val="24"/>
        </w:rPr>
      </w:pPr>
      <w:r w:rsidRPr="00D81085">
        <w:rPr>
          <w:rFonts w:ascii="Tahoma" w:hAnsi="Tahoma"/>
          <w:b/>
          <w:bCs/>
          <w:sz w:val="24"/>
          <w:rtl/>
        </w:rPr>
        <w:t>حجیت عقل در فقه</w:t>
      </w:r>
    </w:p>
    <w:p w:rsidR="00B70F02" w:rsidRPr="00D81085" w:rsidRDefault="00B70F02" w:rsidP="00B70F02">
      <w:pPr>
        <w:shd w:val="clear" w:color="auto" w:fill="D9D9D9" w:themeFill="background1" w:themeFillShade="D9"/>
        <w:spacing w:line="360" w:lineRule="auto"/>
        <w:jc w:val="lowKashida"/>
        <w:rPr>
          <w:rFonts w:ascii="Tahoma" w:hAnsi="Tahoma"/>
          <w:b/>
          <w:bCs/>
          <w:sz w:val="24"/>
          <w:rtl/>
        </w:rPr>
      </w:pPr>
      <w:r w:rsidRPr="00D81085">
        <w:rPr>
          <w:rFonts w:ascii="Tahoma" w:hAnsi="Tahoma"/>
          <w:b/>
          <w:bCs/>
          <w:sz w:val="24"/>
          <w:rtl/>
        </w:rPr>
        <w:tab/>
        <w:t>عقل دلیل</w:t>
      </w:r>
    </w:p>
    <w:p w:rsidR="00F21E32" w:rsidRDefault="00F21E32" w:rsidP="00F21E32">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فرمایش صاحب فصول</w:t>
      </w:r>
      <w:r w:rsidR="00D33EBB">
        <w:rPr>
          <w:rFonts w:ascii="Tahoma" w:hAnsi="Tahoma" w:hint="cs"/>
          <w:b/>
          <w:bCs/>
          <w:sz w:val="24"/>
          <w:rtl/>
        </w:rPr>
        <w:t xml:space="preserve"> در قاعده ملازمه(عدم اعتقاد به ملازمه)</w:t>
      </w:r>
    </w:p>
    <w:p w:rsidR="00F21E32" w:rsidRDefault="00F21E32" w:rsidP="00D33EBB">
      <w:pPr>
        <w:shd w:val="clear" w:color="auto" w:fill="D9D9D9" w:themeFill="background1" w:themeFillShade="D9"/>
        <w:spacing w:line="360" w:lineRule="auto"/>
        <w:ind w:left="1440" w:firstLine="720"/>
        <w:jc w:val="lowKashida"/>
        <w:rPr>
          <w:rFonts w:ascii="Tahoma" w:hAnsi="Tahoma"/>
          <w:b/>
          <w:bCs/>
          <w:sz w:val="24"/>
          <w:rtl/>
        </w:rPr>
      </w:pPr>
      <w:r>
        <w:rPr>
          <w:rFonts w:ascii="Tahoma" w:hAnsi="Tahoma" w:hint="cs"/>
          <w:b/>
          <w:bCs/>
          <w:sz w:val="24"/>
          <w:rtl/>
        </w:rPr>
        <w:t>فرمایش</w:t>
      </w:r>
      <w:r w:rsidR="00B70F02" w:rsidRPr="00D81085">
        <w:rPr>
          <w:rFonts w:ascii="Tahoma" w:hAnsi="Tahoma"/>
          <w:b/>
          <w:bCs/>
          <w:sz w:val="24"/>
          <w:rtl/>
        </w:rPr>
        <w:t xml:space="preserve"> م</w:t>
      </w:r>
      <w:r w:rsidR="00D33EBB">
        <w:rPr>
          <w:rFonts w:ascii="Tahoma" w:hAnsi="Tahoma" w:hint="cs"/>
          <w:b/>
          <w:bCs/>
          <w:sz w:val="24"/>
          <w:rtl/>
        </w:rPr>
        <w:t>حقق</w:t>
      </w:r>
      <w:r w:rsidR="00B70F02" w:rsidRPr="00D81085">
        <w:rPr>
          <w:rFonts w:ascii="Tahoma" w:hAnsi="Tahoma"/>
          <w:b/>
          <w:bCs/>
          <w:sz w:val="24"/>
          <w:rtl/>
        </w:rPr>
        <w:t xml:space="preserve"> اصفهانی </w:t>
      </w:r>
    </w:p>
    <w:p w:rsidR="00B70F02" w:rsidRPr="00D81085" w:rsidRDefault="00B70F02" w:rsidP="00F21E32">
      <w:pPr>
        <w:shd w:val="clear" w:color="auto" w:fill="D9D9D9" w:themeFill="background1" w:themeFillShade="D9"/>
        <w:spacing w:line="360" w:lineRule="auto"/>
        <w:jc w:val="lowKashida"/>
        <w:rPr>
          <w:rFonts w:ascii="Tahoma" w:hAnsi="Tahoma"/>
          <w:b/>
          <w:bCs/>
          <w:sz w:val="24"/>
          <w:rtl/>
        </w:rPr>
      </w:pPr>
      <w:r w:rsidRPr="00D81085">
        <w:rPr>
          <w:rFonts w:ascii="Tahoma" w:hAnsi="Tahoma"/>
          <w:b/>
          <w:bCs/>
          <w:sz w:val="24"/>
          <w:rtl/>
        </w:rPr>
        <w:t xml:space="preserve">جلسه چهل و </w:t>
      </w:r>
      <w:r>
        <w:rPr>
          <w:rFonts w:ascii="Tahoma" w:hAnsi="Tahoma" w:hint="cs"/>
          <w:b/>
          <w:bCs/>
          <w:sz w:val="24"/>
          <w:rtl/>
        </w:rPr>
        <w:t>دو</w:t>
      </w:r>
      <w:r w:rsidRPr="00D81085">
        <w:rPr>
          <w:rFonts w:ascii="Tahoma" w:hAnsi="Tahoma"/>
          <w:b/>
          <w:bCs/>
          <w:sz w:val="24"/>
          <w:rtl/>
        </w:rPr>
        <w:t>م_ 2</w:t>
      </w:r>
      <w:r>
        <w:rPr>
          <w:rFonts w:ascii="Tahoma" w:hAnsi="Tahoma" w:hint="cs"/>
          <w:b/>
          <w:bCs/>
          <w:sz w:val="24"/>
          <w:rtl/>
        </w:rPr>
        <w:t>8</w:t>
      </w:r>
      <w:r w:rsidRPr="00D81085">
        <w:rPr>
          <w:rFonts w:ascii="Tahoma" w:hAnsi="Tahoma"/>
          <w:b/>
          <w:bCs/>
          <w:sz w:val="24"/>
          <w:rtl/>
        </w:rPr>
        <w:t xml:space="preserve"> دی 95</w:t>
      </w:r>
    </w:p>
    <w:p w:rsidR="008538D6" w:rsidRDefault="00F21E32" w:rsidP="00B70F02">
      <w:pPr>
        <w:shd w:val="clear" w:color="auto" w:fill="D9D9D9" w:themeFill="background1" w:themeFillShade="D9"/>
        <w:spacing w:line="360" w:lineRule="auto"/>
        <w:jc w:val="lowKashida"/>
        <w:rPr>
          <w:rtl/>
        </w:rPr>
      </w:pPr>
      <w:r>
        <w:rPr>
          <w:rFonts w:hint="cs"/>
          <w:rtl/>
        </w:rPr>
        <w:t>مرحوم صاحب فصول فرمایشی دارد در مورد قاعده‌ی ملازمه که بعد از ایشان از طرف مثل شیخ انصاری و مرحوم آخوند و دیگران مورد نقد و بررسی قرار گرفته است، از جمله کسانی که به نقد صاحب فصول پرداخته است، مرحوم محقق اصفهانی است.</w:t>
      </w:r>
    </w:p>
    <w:p w:rsidR="00F21E32" w:rsidRDefault="00F21E32" w:rsidP="00B70F02">
      <w:pPr>
        <w:shd w:val="clear" w:color="auto" w:fill="D9D9D9" w:themeFill="background1" w:themeFillShade="D9"/>
        <w:spacing w:line="360" w:lineRule="auto"/>
        <w:jc w:val="lowKashida"/>
        <w:rPr>
          <w:rFonts w:hint="cs"/>
          <w:rtl/>
        </w:rPr>
      </w:pPr>
      <w:r>
        <w:rPr>
          <w:rFonts w:hint="cs"/>
          <w:rtl/>
        </w:rPr>
        <w:t>مرحوم صاحب فصول در ص 338 به بعد، وار داین بحث شده اند و مرحوم محقق اصفهانی در ادامه‌ی بحثی که دیروز داشتیم از ص 354 در ج 3 این سخن را بررسی کرده است.</w:t>
      </w:r>
    </w:p>
    <w:p w:rsidR="00F21E32" w:rsidRDefault="00F21E32" w:rsidP="00B70F02">
      <w:pPr>
        <w:shd w:val="clear" w:color="auto" w:fill="D9D9D9" w:themeFill="background1" w:themeFillShade="D9"/>
        <w:spacing w:line="360" w:lineRule="auto"/>
        <w:jc w:val="lowKashida"/>
        <w:rPr>
          <w:rFonts w:hint="cs"/>
          <w:rtl/>
        </w:rPr>
      </w:pPr>
      <w:r>
        <w:rPr>
          <w:rFonts w:hint="cs"/>
          <w:rtl/>
        </w:rPr>
        <w:t xml:space="preserve">صاحب فصول جزء کسانی است که اساسا قاعده‌ی ملازمه را قبول ندارد چون مسئله تبعیت احکام شرعیه از مصالحو مفاسد در متعلقات قبول ندارد. این جمله‌ی مشهور که امر ونهی تابع مصالح و مفاسد ایی است در متعلقات اوامر و نواهی این مسلّم نیست. </w:t>
      </w:r>
    </w:p>
    <w:p w:rsidR="00F21E32" w:rsidRDefault="00F21E32" w:rsidP="00B70F02">
      <w:pPr>
        <w:shd w:val="clear" w:color="auto" w:fill="D9D9D9" w:themeFill="background1" w:themeFillShade="D9"/>
        <w:spacing w:line="360" w:lineRule="auto"/>
        <w:jc w:val="lowKashida"/>
        <w:rPr>
          <w:rFonts w:hint="cs"/>
          <w:rtl/>
        </w:rPr>
      </w:pPr>
      <w:r>
        <w:rPr>
          <w:rFonts w:hint="cs"/>
          <w:rtl/>
        </w:rPr>
        <w:t>بل یکفي فی حسنها کونها بنفسها ذوات مصالح</w:t>
      </w:r>
    </w:p>
    <w:p w:rsidR="00F21E32" w:rsidRDefault="00F21E32" w:rsidP="00B70F02">
      <w:pPr>
        <w:shd w:val="clear" w:color="auto" w:fill="D9D9D9" w:themeFill="background1" w:themeFillShade="D9"/>
        <w:spacing w:line="360" w:lineRule="auto"/>
        <w:jc w:val="lowKashida"/>
        <w:rPr>
          <w:rFonts w:hint="cs"/>
          <w:rtl/>
        </w:rPr>
      </w:pPr>
      <w:r>
        <w:rPr>
          <w:rFonts w:hint="cs"/>
          <w:rtl/>
        </w:rPr>
        <w:t>کافی است در حسن یک امر اینکه خود این امر دارای مصلحتی باشد. از امر مولی کشف نمی کنیم که در متعلق امر مصلحتی نهفته است. پس آن جمله ی واجبات شرعیه الطاف در واجبات عقلبه اند معنا ندارد، شاهدی که ایشان بر مدعا می آورد، سه شاهد است:</w:t>
      </w:r>
    </w:p>
    <w:p w:rsidR="00F21E32" w:rsidRDefault="00F21E32" w:rsidP="00F21E32">
      <w:pPr>
        <w:pStyle w:val="ListParagraph"/>
        <w:numPr>
          <w:ilvl w:val="0"/>
          <w:numId w:val="1"/>
        </w:numPr>
        <w:shd w:val="clear" w:color="auto" w:fill="D9D9D9" w:themeFill="background1" w:themeFillShade="D9"/>
        <w:spacing w:line="360" w:lineRule="auto"/>
        <w:jc w:val="lowKashida"/>
        <w:rPr>
          <w:rFonts w:cs="Tahoma" w:hint="cs"/>
          <w:szCs w:val="24"/>
        </w:rPr>
      </w:pPr>
      <w:r w:rsidRPr="00F21E32">
        <w:rPr>
          <w:rFonts w:cs="Tahoma" w:hint="cs"/>
          <w:szCs w:val="24"/>
          <w:rtl/>
        </w:rPr>
        <w:t>اوامر امتحانیه</w:t>
      </w:r>
      <w:r>
        <w:rPr>
          <w:rFonts w:cs="Tahoma" w:hint="cs"/>
          <w:szCs w:val="24"/>
          <w:rtl/>
        </w:rPr>
        <w:t>؛ چون مصلحتی در متعلق اوامر امتحانیه نیست. نه تنها مصلحت نیست بلکه گاهی مفسده ایی دارد. مثل حضرت اسماعیل توسط حضرت ابراهیم علی نبینا و آله و علیهما السلام. چه مصلحتی در خو دذبح است بلکه خود ذبح مفسده دارد ولی خدا دستور دارد است.</w:t>
      </w:r>
    </w:p>
    <w:p w:rsidR="00F21E32" w:rsidRDefault="00F21E32" w:rsidP="00F21E32">
      <w:pPr>
        <w:pStyle w:val="ListParagraph"/>
        <w:numPr>
          <w:ilvl w:val="0"/>
          <w:numId w:val="1"/>
        </w:numPr>
        <w:shd w:val="clear" w:color="auto" w:fill="D9D9D9" w:themeFill="background1" w:themeFillShade="D9"/>
        <w:spacing w:line="360" w:lineRule="auto"/>
        <w:jc w:val="lowKashida"/>
        <w:rPr>
          <w:rFonts w:cs="Tahoma" w:hint="cs"/>
          <w:szCs w:val="24"/>
        </w:rPr>
      </w:pPr>
      <w:r>
        <w:rPr>
          <w:rFonts w:cs="Tahoma" w:hint="cs"/>
          <w:szCs w:val="24"/>
          <w:rtl/>
        </w:rPr>
        <w:t>اوامر تقیه ایی؛ امام مثلا دستور دهد به نحو اهل سنت وضوء بگیر. چه مصصلحتی است بر وضوء گرفتن بر طبق مسلک اهل سنت.</w:t>
      </w:r>
    </w:p>
    <w:p w:rsidR="00F21E32" w:rsidRDefault="00F21E32" w:rsidP="00F21E32">
      <w:pPr>
        <w:pStyle w:val="ListParagraph"/>
        <w:numPr>
          <w:ilvl w:val="0"/>
          <w:numId w:val="1"/>
        </w:numPr>
        <w:shd w:val="clear" w:color="auto" w:fill="D9D9D9" w:themeFill="background1" w:themeFillShade="D9"/>
        <w:spacing w:line="360" w:lineRule="auto"/>
        <w:jc w:val="lowKashida"/>
        <w:rPr>
          <w:rFonts w:cs="Tahoma" w:hint="cs"/>
          <w:szCs w:val="24"/>
        </w:rPr>
      </w:pPr>
      <w:r>
        <w:rPr>
          <w:rFonts w:cs="Tahoma" w:hint="cs"/>
          <w:szCs w:val="24"/>
          <w:rtl/>
        </w:rPr>
        <w:t xml:space="preserve">اوامر تعبدیه؛ نماز بخوان بداعی امر؛ متعلق صلِّ خود صلاة است. صلاة بما هی هی هیچ مصلحتی ندارد. آنی که نماز را دارای مصلحت کرده است آن به داعی امر آوردنش است. پس حالا که اساسا حُسن و قبحی وراء اوامر و نواهی نیست، الا در خود امر و خود نهی، پس بحث کردن از قاعده‌ی ملازمه جا ندارد، در قاعده ی ملازمه می‌گویید </w:t>
      </w:r>
      <w:r>
        <w:rPr>
          <w:rFonts w:cs="Tahoma" w:hint="cs"/>
          <w:szCs w:val="24"/>
          <w:rtl/>
        </w:rPr>
        <w:lastRenderedPageBreak/>
        <w:t>کل ما حکم به العقل، حکم به الشرع یعن یهر چیزی که عقلا مصلحت یا مفسده داشت، آن چیز متعلق اولا اوامر ونواهی در شرع واقع می شود در حالی که اساسا من صاحب فصول قبول ندارم، متعلق اوامر باید حُسن یا متعلق نواهی باید قبحی داشته باشد.</w:t>
      </w:r>
    </w:p>
    <w:p w:rsidR="00F21E32" w:rsidRDefault="00F21E32" w:rsidP="00F21E32">
      <w:pPr>
        <w:pStyle w:val="ListParagraph"/>
        <w:shd w:val="clear" w:color="auto" w:fill="D9D9D9" w:themeFill="background1" w:themeFillShade="D9"/>
        <w:spacing w:line="360" w:lineRule="auto"/>
        <w:jc w:val="lowKashida"/>
        <w:rPr>
          <w:rFonts w:cs="Tahoma"/>
          <w:szCs w:val="24"/>
          <w:rtl/>
        </w:rPr>
      </w:pPr>
      <w:r>
        <w:rPr>
          <w:rFonts w:cs="Tahoma" w:hint="cs"/>
          <w:szCs w:val="24"/>
          <w:rtl/>
        </w:rPr>
        <w:t>در قسما دوم قاعده می گفتید کل ما حکم به الشرع حکم به العقل، چرا حکم به العقل؟ چون مصلحتی در آن‌جا نهفته است. مبنای قاعده در هر دو قضیه ملتزم شدن به این مبنا است که بگوییم اوامر و نواهی تابع مصالح و مفاسد در متعلقات اند. وقتی مبنا خراب شد، بنا هم ویران شد.</w:t>
      </w:r>
    </w:p>
    <w:p w:rsidR="00D33EBB" w:rsidRDefault="00D33EBB"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اما محقق اصفهانی؛ ایشان در مرتبه اول مبنایی که ایشان بنا گذاشت که احکام از مصالح و مفاسد در متعلقات تبعیت نمی کنند را جواب می دهد و بعد هر سه شاهد را جواب می دهد:</w:t>
      </w:r>
    </w:p>
    <w:p w:rsidR="00D33EBB" w:rsidRDefault="00D33EBB"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عصاره بحث ر اابتدا در دو سه خط می آور د و آن این که من اصفهانی در حقیقت حکم می گویم، حکم انشائی است که آن انشاء بر خواسته‌ی از اراده ایی است که آن اراده برای این است که مرا بعث و تحریک کند. با چنینی مبنایی در دو مرحله مسئله تجزیه و تحلیل می‌کنم تا به این نتیجه برسیم که پشیبان احکام شرعیه، مصالح و مفاسدی است که در متعلقات احکام است.</w:t>
      </w:r>
    </w:p>
    <w:p w:rsidR="00D33EBB" w:rsidRDefault="00D33EBB"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مرحله ی اول، لفظ اراده را تجزیه و تحلیل می‌کند، مرحله‌ی دوم، انشاء را تجزیه و تحلیل می کنیم.</w:t>
      </w:r>
    </w:p>
    <w:p w:rsidR="00D33EBB" w:rsidRDefault="00D33EBB"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اما اراده؛ شنیده ایید که ارده را تقسیم می کنند به اراده ی تکریمیه و اراده ی تشریعیه. ایشان در جلد 1، نهایه الدرایة صفحه‌ی 280یک عبارت دارد:</w:t>
      </w:r>
    </w:p>
    <w:p w:rsidR="00D33EBB" w:rsidRDefault="00D33EBB"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إنَّ تقسیمَ الارادة الي التکوینیة و التشریعیة باعتبار تعلّق الاولی بفعل المريد بنفسه و تعلّق الثانیة بفعل الغیر اعنی المراد منه.</w:t>
      </w:r>
    </w:p>
    <w:p w:rsidR="00D33EBB" w:rsidRDefault="00D33EBB" w:rsidP="00F21E32">
      <w:pPr>
        <w:pStyle w:val="ListParagraph"/>
        <w:shd w:val="clear" w:color="auto" w:fill="D9D9D9" w:themeFill="background1" w:themeFillShade="D9"/>
        <w:spacing w:line="360" w:lineRule="auto"/>
        <w:jc w:val="lowKashida"/>
        <w:rPr>
          <w:rFonts w:cs="Tahoma"/>
          <w:szCs w:val="24"/>
          <w:rtl/>
        </w:rPr>
      </w:pPr>
      <w:r>
        <w:rPr>
          <w:rFonts w:cs="Tahoma" w:hint="cs"/>
          <w:szCs w:val="24"/>
          <w:rtl/>
        </w:rPr>
        <w:t>بیان ایشان این است که در اراده ی تکوینیه اراده تعلق می‌گیرد به فع</w:t>
      </w:r>
      <w:r w:rsidR="00DA0D98">
        <w:rPr>
          <w:rFonts w:cs="Tahoma" w:hint="cs"/>
          <w:szCs w:val="24"/>
          <w:rtl/>
        </w:rPr>
        <w:t xml:space="preserve">ل خود ذات قدوس حق جلّ تعالی. </w:t>
      </w:r>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اما ارده‌ی تشریعیه الهی متعلق اش فعل مکلف است. خدا ارده کرده است نماز را یعنی خدا اراده کرده است من نماز بخوانم.</w:t>
      </w:r>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مقدمه‌ی دوم؛ در همین ص 354 ج 3، جمله ایی است که غلط چاپی واضحی دارد که باید تصحیح شود:</w:t>
      </w:r>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 xml:space="preserve"> اما الارادة التشریعیة و هو الشوق الاکید المتعلّق بفعل الغیر الموجب لجعل الداعي نحوَه.</w:t>
      </w:r>
    </w:p>
    <w:p w:rsidR="00DA0D98" w:rsidRDefault="00DA0D98" w:rsidP="00F21E32">
      <w:pPr>
        <w:pStyle w:val="ListParagraph"/>
        <w:shd w:val="clear" w:color="auto" w:fill="D9D9D9" w:themeFill="background1" w:themeFillShade="D9"/>
        <w:spacing w:line="360" w:lineRule="auto"/>
        <w:jc w:val="lowKashida"/>
        <w:rPr>
          <w:rFonts w:cs="Tahoma"/>
          <w:szCs w:val="24"/>
          <w:rtl/>
        </w:rPr>
      </w:pPr>
      <w:r>
        <w:rPr>
          <w:rFonts w:cs="Tahoma" w:hint="cs"/>
          <w:szCs w:val="24"/>
          <w:rtl/>
        </w:rPr>
        <w:t>این شوق باعث می‌شود که برای این آقای غیر به طرف این فعل داعی ایجاد بشود.</w:t>
      </w:r>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lastRenderedPageBreak/>
        <w:t>حیث إنّ فعل الغیر لا یکون تحت اختیاره و لا یمکن تحصیله منه الّا بجعل الداعی المنبعث عنه الشوق المحرک للعضلاة نحوَ الفعل</w:t>
      </w:r>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توضیح این عبارت؛ ما دو شوق داریم یک شوق از شارع، شک شوق از مکلف، شوق شارع که شوق اکیدی است، تعلق گرفته است به این که من نماز بخوانم از آن جا که نماز خواندن من خلق شدن من نیست و باید به اختیار خودم باشد، و تحت اختیار غیر نیست، اگر مقنن بخواهد من نماز بخوانم، راهی ندارد که با آن اراده‌ی تشریعیة اییی که همان شوق اکید بود، آن ارداده را به من برساند، یعنی من بفهم مولی ان شوق اکید دارد و وقتی خودم را عبد آن مولی می دانم و به من واصل شد که مولی شائق است به نماز خواندن من پس برای من توسط آن صلّ داعی ایجاد شد و از این داعی شوقی برای مکلف ایجاد می‌شود تا با این شوقحرکت کند. حرکتا جسمیا به طرف انجام ان فعل.</w:t>
      </w:r>
    </w:p>
    <w:p w:rsidR="00DA0D98" w:rsidRDefault="00DA0D98" w:rsidP="00F21E32">
      <w:pPr>
        <w:pStyle w:val="ListParagraph"/>
        <w:shd w:val="clear" w:color="auto" w:fill="D9D9D9" w:themeFill="background1" w:themeFillShade="D9"/>
        <w:spacing w:line="360" w:lineRule="auto"/>
        <w:jc w:val="lowKashida"/>
        <w:rPr>
          <w:rFonts w:cs="Tahoma"/>
          <w:szCs w:val="24"/>
          <w:rtl/>
        </w:rPr>
      </w:pPr>
      <w:r>
        <w:rPr>
          <w:rFonts w:cs="Tahoma" w:hint="cs"/>
          <w:szCs w:val="24"/>
          <w:rtl/>
        </w:rPr>
        <w:t>نماز خواندن من با جسم و این زبان ناشی زاز شوقی است که در من بوجود آمده است. این شوقی که در من بوجود آمده است در اثر یک انگیزه و داعی که برای من بوجود آمده است. این داعی برخواسته ی افعل و صلِّ مولی است و این صلِّ مولی کاشف شوق مولی است.</w:t>
      </w:r>
    </w:p>
    <w:p w:rsidR="002F42F1" w:rsidRDefault="002F42F1"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این حقیقت اراده ی تشریعیه است.</w:t>
      </w:r>
      <w:bookmarkStart w:id="0" w:name="_GoBack"/>
      <w:bookmarkEnd w:id="0"/>
    </w:p>
    <w:p w:rsidR="00DA0D98" w:rsidRDefault="00DA0D98" w:rsidP="00F21E32">
      <w:pPr>
        <w:pStyle w:val="ListParagraph"/>
        <w:shd w:val="clear" w:color="auto" w:fill="D9D9D9" w:themeFill="background1" w:themeFillShade="D9"/>
        <w:spacing w:line="360" w:lineRule="auto"/>
        <w:jc w:val="lowKashida"/>
        <w:rPr>
          <w:rFonts w:cs="Tahoma" w:hint="cs"/>
          <w:szCs w:val="24"/>
          <w:rtl/>
        </w:rPr>
      </w:pPr>
      <w:r>
        <w:rPr>
          <w:rFonts w:cs="Tahoma" w:hint="cs"/>
          <w:szCs w:val="24"/>
          <w:rtl/>
        </w:rPr>
        <w:t>و صلی الله علی محمد و آله الطاهرین.</w:t>
      </w:r>
    </w:p>
    <w:p w:rsidR="00DA0D98" w:rsidRPr="00F21E32" w:rsidRDefault="00DA0D98" w:rsidP="00DA0D98">
      <w:pPr>
        <w:pStyle w:val="ListParagraph"/>
        <w:shd w:val="clear" w:color="auto" w:fill="D9D9D9" w:themeFill="background1" w:themeFillShade="D9"/>
        <w:spacing w:line="360" w:lineRule="auto"/>
        <w:jc w:val="right"/>
        <w:rPr>
          <w:rFonts w:cs="Tahoma"/>
          <w:szCs w:val="24"/>
        </w:rPr>
      </w:pPr>
      <w:r>
        <w:rPr>
          <w:rFonts w:cs="Tahoma" w:hint="cs"/>
          <w:szCs w:val="24"/>
          <w:rtl/>
        </w:rPr>
        <w:t>تم کلام الاستاذ.</w:t>
      </w:r>
    </w:p>
    <w:sectPr w:rsidR="00DA0D98" w:rsidRPr="00F21E32"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D179D7"/>
    <w:multiLevelType w:val="hybridMultilevel"/>
    <w:tmpl w:val="8E0E4A00"/>
    <w:lvl w:ilvl="0" w:tplc="0A3E661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8A6"/>
    <w:rsid w:val="001F18A6"/>
    <w:rsid w:val="002F42F1"/>
    <w:rsid w:val="00373C2E"/>
    <w:rsid w:val="006E4151"/>
    <w:rsid w:val="00931957"/>
    <w:rsid w:val="00994D17"/>
    <w:rsid w:val="00B558C0"/>
    <w:rsid w:val="00B70F02"/>
    <w:rsid w:val="00D33EBB"/>
    <w:rsid w:val="00DA0D98"/>
    <w:rsid w:val="00E167EC"/>
    <w:rsid w:val="00F21E3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6E53-37D8-4E43-8F21-FF95F27E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F02"/>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5</cp:revision>
  <dcterms:created xsi:type="dcterms:W3CDTF">2017-01-17T04:40:00Z</dcterms:created>
  <dcterms:modified xsi:type="dcterms:W3CDTF">2017-01-17T06:24:00Z</dcterms:modified>
</cp:coreProperties>
</file>